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BCE53E" wp14:editId="51B3255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79D" w:rsidRDefault="0039779D" w:rsidP="00B61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F3F" w:rsidRPr="00721FB0" w:rsidRDefault="00D81F3F" w:rsidP="00D81F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Ergebnisse der BuGG-Projektgruppe</w:t>
      </w:r>
    </w:p>
    <w:p w:rsidR="00D81F3F" w:rsidRPr="003628B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3628BC" w:rsidRDefault="00D81F3F" w:rsidP="00D81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Neu: </w:t>
      </w:r>
      <w:r w:rsidRPr="0010247D">
        <w:rPr>
          <w:rFonts w:ascii="Arial" w:hAnsi="Arial" w:cs="Arial"/>
          <w:b/>
          <w:sz w:val="28"/>
          <w:szCs w:val="28"/>
        </w:rPr>
        <w:t>Bu</w:t>
      </w:r>
      <w:r>
        <w:rPr>
          <w:rFonts w:ascii="Arial" w:hAnsi="Arial" w:cs="Arial"/>
          <w:b/>
          <w:sz w:val="28"/>
          <w:szCs w:val="28"/>
        </w:rPr>
        <w:t>GG-Fachinformation „Begrüntes Umkehrdach“</w:t>
      </w:r>
    </w:p>
    <w:p w:rsidR="00D81F3F" w:rsidRPr="00D06437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D06437" w:rsidRDefault="00D81F3F" w:rsidP="00D81F3F">
      <w:pPr>
        <w:pStyle w:val="Default"/>
        <w:rPr>
          <w:rFonts w:ascii="Arial" w:hAnsi="Arial" w:cs="Arial"/>
          <w:sz w:val="22"/>
          <w:szCs w:val="22"/>
        </w:rPr>
      </w:pPr>
    </w:p>
    <w:p w:rsidR="00D81F3F" w:rsidRPr="00D06437" w:rsidRDefault="00D81F3F" w:rsidP="00D81F3F">
      <w:pPr>
        <w:pStyle w:val="Pa7"/>
        <w:spacing w:line="240" w:lineRule="auto"/>
        <w:rPr>
          <w:rStyle w:val="A3"/>
          <w:rFonts w:ascii="Arial" w:hAnsi="Arial" w:cs="Arial"/>
          <w:sz w:val="22"/>
          <w:szCs w:val="22"/>
        </w:rPr>
      </w:pPr>
      <w:r w:rsidRPr="00D06437">
        <w:rPr>
          <w:rStyle w:val="A3"/>
          <w:rFonts w:ascii="Arial" w:hAnsi="Arial" w:cs="Arial"/>
          <w:sz w:val="22"/>
          <w:szCs w:val="22"/>
        </w:rPr>
        <w:t>Mit der BuGG-Fachinformation „Begrüntes Umkehr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dach“ greift der Bundesverband GebäudeGrün e.V. (BuGG) ein aktuelles Thema auf und stellt allen Bau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beteiligten ein praxisorientiertes Informationswerk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zeug für Planung und Ausführung dauerhaft funktionsfähig begrünter Umkehrdächer zur Verfügung. Die BuGG-Fachinformation richtet sich an Planende, Bausachverständige und Ausführende des Dachde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ckerhandwerks und des Garten- und Landschafts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baus.</w:t>
      </w:r>
    </w:p>
    <w:p w:rsidR="00D81F3F" w:rsidRPr="00D06437" w:rsidRDefault="00D81F3F" w:rsidP="00D81F3F">
      <w:pPr>
        <w:pStyle w:val="Default"/>
        <w:rPr>
          <w:rFonts w:ascii="Arial" w:hAnsi="Arial" w:cs="Arial"/>
          <w:sz w:val="22"/>
          <w:szCs w:val="22"/>
        </w:rPr>
      </w:pPr>
    </w:p>
    <w:p w:rsidR="00D81F3F" w:rsidRPr="00D06437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06437">
        <w:rPr>
          <w:rStyle w:val="A3"/>
          <w:rFonts w:ascii="Arial" w:hAnsi="Arial" w:cs="Arial"/>
          <w:sz w:val="22"/>
          <w:szCs w:val="22"/>
        </w:rPr>
        <w:t>Die vorliegende BuGG-Fachinformation baut auf den Vorgaben der allgemeinen Bauartgenehmi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gung als Grundlag</w:t>
      </w:r>
      <w:r w:rsidR="00015453">
        <w:rPr>
          <w:rStyle w:val="A3"/>
          <w:rFonts w:ascii="Arial" w:hAnsi="Arial" w:cs="Arial"/>
          <w:sz w:val="22"/>
          <w:szCs w:val="22"/>
        </w:rPr>
        <w:t>e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 auf und</w:t>
      </w:r>
      <w:r w:rsidR="00015453">
        <w:rPr>
          <w:rStyle w:val="A3"/>
          <w:rFonts w:ascii="Arial" w:hAnsi="Arial" w:cs="Arial"/>
          <w:sz w:val="22"/>
          <w:szCs w:val="22"/>
        </w:rPr>
        <w:t xml:space="preserve"> wird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 ergänzt </w:t>
      </w:r>
      <w:r w:rsidR="00015453">
        <w:rPr>
          <w:rStyle w:val="A3"/>
          <w:rFonts w:ascii="Arial" w:hAnsi="Arial" w:cs="Arial"/>
          <w:sz w:val="22"/>
          <w:szCs w:val="22"/>
        </w:rPr>
        <w:t>durch</w:t>
      </w:r>
      <w:r w:rsidRPr="00D06437">
        <w:rPr>
          <w:rStyle w:val="A3"/>
          <w:rFonts w:ascii="Arial" w:hAnsi="Arial" w:cs="Arial"/>
          <w:sz w:val="22"/>
          <w:szCs w:val="22"/>
        </w:rPr>
        <w:t xml:space="preserve"> langjähri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ge baupraktische Erfahrungen und Untersuchungen der Dämmstoff- und Gründ</w:t>
      </w:r>
      <w:r>
        <w:rPr>
          <w:rStyle w:val="A3"/>
          <w:rFonts w:ascii="Arial" w:hAnsi="Arial" w:cs="Arial"/>
          <w:sz w:val="22"/>
          <w:szCs w:val="22"/>
        </w:rPr>
        <w:t xml:space="preserve">achanbieter. Es werden bau- und </w:t>
      </w:r>
      <w:r w:rsidRPr="00D06437">
        <w:rPr>
          <w:rStyle w:val="A3"/>
          <w:rFonts w:ascii="Arial" w:hAnsi="Arial" w:cs="Arial"/>
          <w:sz w:val="22"/>
          <w:szCs w:val="22"/>
        </w:rPr>
        <w:t>vegetationstechnische Hinweise zu ex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 xml:space="preserve">tensiv bzw. intensiv begrünten Umkehrdächern bei Dachneigungen von 0 – 45° gegeben. </w:t>
      </w:r>
      <w:r>
        <w:rPr>
          <w:rStyle w:val="A3"/>
          <w:rFonts w:ascii="Arial" w:hAnsi="Arial" w:cs="Arial"/>
          <w:sz w:val="22"/>
          <w:szCs w:val="22"/>
        </w:rPr>
        <w:t xml:space="preserve">Hierbei </w:t>
      </w:r>
      <w:r w:rsidR="00015453">
        <w:rPr>
          <w:rStyle w:val="A3"/>
          <w:rFonts w:ascii="Arial" w:hAnsi="Arial" w:cs="Arial"/>
          <w:sz w:val="22"/>
          <w:szCs w:val="22"/>
        </w:rPr>
        <w:t>werden</w:t>
      </w:r>
      <w:r>
        <w:rPr>
          <w:rStyle w:val="A3"/>
          <w:rFonts w:ascii="Arial" w:hAnsi="Arial" w:cs="Arial"/>
          <w:sz w:val="22"/>
          <w:szCs w:val="22"/>
        </w:rPr>
        <w:t xml:space="preserve"> auch Retentionsgründächer berücksichtigt. </w:t>
      </w:r>
      <w:r w:rsidRPr="00D06437">
        <w:rPr>
          <w:rStyle w:val="A3"/>
          <w:rFonts w:ascii="Arial" w:hAnsi="Arial" w:cs="Arial"/>
          <w:sz w:val="22"/>
          <w:szCs w:val="22"/>
        </w:rPr>
        <w:t>Diese Fachin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formation ist ebenfalls anwendbar, wenn das zu be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grünende Dach in Teilbereichen als Aufenthaltsflä</w:t>
      </w:r>
      <w:r w:rsidRPr="00D06437">
        <w:rPr>
          <w:rStyle w:val="A3"/>
          <w:rFonts w:ascii="Arial" w:hAnsi="Arial" w:cs="Arial"/>
          <w:sz w:val="22"/>
          <w:szCs w:val="22"/>
        </w:rPr>
        <w:softHyphen/>
        <w:t>che, Terrasse mit entsprechenden Belägen bzw. befahrbar ausgelegt wird.</w:t>
      </w:r>
    </w:p>
    <w:p w:rsidR="00D81F3F" w:rsidRDefault="00D81F3F" w:rsidP="00D81F3F">
      <w:pPr>
        <w:pStyle w:val="Default"/>
      </w:pPr>
      <w:bookmarkStart w:id="0" w:name="_GoBack"/>
      <w:bookmarkEnd w:id="0"/>
    </w:p>
    <w:p w:rsidR="00D81F3F" w:rsidRPr="009C731A" w:rsidRDefault="00D81F3F" w:rsidP="00D81F3F">
      <w:pPr>
        <w:pStyle w:val="Pa1"/>
        <w:rPr>
          <w:rStyle w:val="A3"/>
          <w:rFonts w:ascii="Arial" w:hAnsi="Arial" w:cs="Arial"/>
          <w:sz w:val="22"/>
          <w:szCs w:val="22"/>
        </w:rPr>
      </w:pPr>
      <w:r w:rsidRPr="009C731A">
        <w:rPr>
          <w:rStyle w:val="A3"/>
          <w:rFonts w:ascii="Arial" w:hAnsi="Arial" w:cs="Arial"/>
          <w:bCs/>
          <w:sz w:val="22"/>
          <w:szCs w:val="22"/>
        </w:rPr>
        <w:t xml:space="preserve">Die Bearbeitung der neuen BuGG-Fachinformation erfolgte durch die </w:t>
      </w:r>
      <w:r>
        <w:rPr>
          <w:rStyle w:val="A3"/>
          <w:rFonts w:ascii="Arial" w:hAnsi="Arial" w:cs="Arial"/>
          <w:bCs/>
          <w:sz w:val="22"/>
          <w:szCs w:val="22"/>
        </w:rPr>
        <w:t>BuGG-</w:t>
      </w:r>
      <w:r w:rsidRPr="009C731A">
        <w:rPr>
          <w:rStyle w:val="A3"/>
          <w:rFonts w:ascii="Arial" w:hAnsi="Arial" w:cs="Arial"/>
          <w:bCs/>
          <w:sz w:val="22"/>
          <w:szCs w:val="22"/>
        </w:rPr>
        <w:t xml:space="preserve">Projektgruppe „Begrüntes Umkehrdach“ mit </w:t>
      </w:r>
      <w:r w:rsidRPr="009C731A">
        <w:rPr>
          <w:rStyle w:val="A3"/>
          <w:rFonts w:ascii="Arial" w:hAnsi="Arial" w:cs="Arial"/>
          <w:sz w:val="22"/>
          <w:szCs w:val="22"/>
        </w:rPr>
        <w:t xml:space="preserve">Dirk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Baune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(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Austrotherm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Dämmstoffe GmbH), Clemens Belke (GDL Belke GmbH), Dr. Gunter Mann, Daniel Westerholt, Felix Mollenhauer (alle Bundesverband GebäudeGrün e.V.), Werner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Hirschle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(JACKON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Insulation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GmbH), Dominik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Gößner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 (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Optigrün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international AG), Jochen Dilger (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Ravago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Building Solutions Germany GmbH), Marc Niewöhner (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Triflex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GmbH &amp; Co. KG), Norbert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Buddendick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(FPX e.V. Fachvereinigung 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Extruderschaumstoff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XPS), Roland Appl (</w:t>
      </w:r>
      <w:proofErr w:type="spellStart"/>
      <w:r w:rsidRPr="009C731A">
        <w:rPr>
          <w:rStyle w:val="A3"/>
          <w:rFonts w:ascii="Arial" w:hAnsi="Arial" w:cs="Arial"/>
          <w:sz w:val="22"/>
          <w:szCs w:val="22"/>
        </w:rPr>
        <w:t>ZinCo</w:t>
      </w:r>
      <w:proofErr w:type="spellEnd"/>
      <w:r w:rsidRPr="009C731A">
        <w:rPr>
          <w:rStyle w:val="A3"/>
          <w:rFonts w:ascii="Arial" w:hAnsi="Arial" w:cs="Arial"/>
          <w:sz w:val="22"/>
          <w:szCs w:val="22"/>
        </w:rPr>
        <w:t xml:space="preserve"> GmbH )</w:t>
      </w:r>
    </w:p>
    <w:p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20 Seiten umfassende Broschüre kann kostenlos als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heruntergeladen werden. </w:t>
      </w:r>
    </w:p>
    <w:p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53354A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E6D46">
        <w:rPr>
          <w:rFonts w:ascii="Arial" w:hAnsi="Arial" w:cs="Arial"/>
          <w:sz w:val="22"/>
          <w:szCs w:val="22"/>
        </w:rPr>
        <w:t>www.gebaeudegruen.info/service/downloads/bugg-fachinformation</w:t>
      </w:r>
    </w:p>
    <w:p w:rsidR="00D81F3F" w:rsidRPr="0053354A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53354A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2D5D31" w:rsidRDefault="00D81F3F" w:rsidP="00D81F3F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D5D31">
        <w:rPr>
          <w:rFonts w:ascii="Arial" w:hAnsi="Arial" w:cs="Arial"/>
          <w:b/>
          <w:sz w:val="22"/>
          <w:szCs w:val="22"/>
          <w:u w:val="single"/>
        </w:rPr>
        <w:t>Fotos</w:t>
      </w:r>
      <w:r>
        <w:rPr>
          <w:rFonts w:ascii="Arial" w:hAnsi="Arial" w:cs="Arial"/>
          <w:b/>
          <w:sz w:val="22"/>
          <w:szCs w:val="22"/>
          <w:u w:val="single"/>
        </w:rPr>
        <w:t>/Abbildungen</w:t>
      </w:r>
    </w:p>
    <w:p w:rsidR="00D81F3F" w:rsidRPr="003B5D7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81F3F" w:rsidRPr="003B5D7C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1:</w:t>
      </w:r>
      <w:r w:rsidRPr="003B5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 erschienen: BuGG-Fachinformation „Begrüntes Umkehrdach“</w:t>
      </w:r>
    </w:p>
    <w:p w:rsidR="00D81F3F" w:rsidRDefault="00D81F3F" w:rsidP="00D81F3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37588C" w:rsidRPr="006540AB" w:rsidRDefault="00D81F3F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Berlin, den 1</w:t>
      </w:r>
      <w:r w:rsidR="00B611D1">
        <w:rPr>
          <w:rFonts w:ascii="Arial" w:eastAsia="Calibri" w:hAnsi="Arial" w:cs="Arial"/>
          <w:bCs/>
          <w:iCs/>
          <w:color w:val="000000"/>
          <w:sz w:val="22"/>
          <w:szCs w:val="22"/>
        </w:rPr>
        <w:t>4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B611D1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37588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15453"/>
    <w:rsid w:val="000209E5"/>
    <w:rsid w:val="000251C6"/>
    <w:rsid w:val="000438EB"/>
    <w:rsid w:val="000807FE"/>
    <w:rsid w:val="000A605B"/>
    <w:rsid w:val="000D22B4"/>
    <w:rsid w:val="000E242E"/>
    <w:rsid w:val="000E6281"/>
    <w:rsid w:val="000F09CA"/>
    <w:rsid w:val="0013120F"/>
    <w:rsid w:val="00145A01"/>
    <w:rsid w:val="00165867"/>
    <w:rsid w:val="00193C2D"/>
    <w:rsid w:val="001C3915"/>
    <w:rsid w:val="001E32BA"/>
    <w:rsid w:val="001E7A84"/>
    <w:rsid w:val="002A293B"/>
    <w:rsid w:val="002C490A"/>
    <w:rsid w:val="002D5D31"/>
    <w:rsid w:val="00345AAA"/>
    <w:rsid w:val="0034692F"/>
    <w:rsid w:val="003628BC"/>
    <w:rsid w:val="0037588C"/>
    <w:rsid w:val="0039779D"/>
    <w:rsid w:val="003B5D7C"/>
    <w:rsid w:val="003E1F72"/>
    <w:rsid w:val="00415B19"/>
    <w:rsid w:val="00433DE4"/>
    <w:rsid w:val="00441EAB"/>
    <w:rsid w:val="00445FA3"/>
    <w:rsid w:val="00484BDB"/>
    <w:rsid w:val="00484D1E"/>
    <w:rsid w:val="00485219"/>
    <w:rsid w:val="004A683E"/>
    <w:rsid w:val="004E3F4B"/>
    <w:rsid w:val="0052635A"/>
    <w:rsid w:val="0053354A"/>
    <w:rsid w:val="005709A1"/>
    <w:rsid w:val="00583D8F"/>
    <w:rsid w:val="005B53B0"/>
    <w:rsid w:val="005D3991"/>
    <w:rsid w:val="005F36A4"/>
    <w:rsid w:val="00602027"/>
    <w:rsid w:val="00606909"/>
    <w:rsid w:val="00625330"/>
    <w:rsid w:val="00653813"/>
    <w:rsid w:val="006540AB"/>
    <w:rsid w:val="00654D1D"/>
    <w:rsid w:val="006D0598"/>
    <w:rsid w:val="006D0EC5"/>
    <w:rsid w:val="006F759F"/>
    <w:rsid w:val="00721FB0"/>
    <w:rsid w:val="007304BF"/>
    <w:rsid w:val="007C5DC8"/>
    <w:rsid w:val="007E39A6"/>
    <w:rsid w:val="00814D6D"/>
    <w:rsid w:val="00867CC8"/>
    <w:rsid w:val="00872680"/>
    <w:rsid w:val="008A252F"/>
    <w:rsid w:val="008B7A49"/>
    <w:rsid w:val="008E2997"/>
    <w:rsid w:val="008E67F5"/>
    <w:rsid w:val="009248C7"/>
    <w:rsid w:val="00924EAF"/>
    <w:rsid w:val="00944760"/>
    <w:rsid w:val="00954CA0"/>
    <w:rsid w:val="00956F11"/>
    <w:rsid w:val="00957E98"/>
    <w:rsid w:val="00966DB6"/>
    <w:rsid w:val="00967EE3"/>
    <w:rsid w:val="009C64AA"/>
    <w:rsid w:val="009C6C67"/>
    <w:rsid w:val="009F6BC3"/>
    <w:rsid w:val="00A10C54"/>
    <w:rsid w:val="00A20D71"/>
    <w:rsid w:val="00A41D96"/>
    <w:rsid w:val="00A517F6"/>
    <w:rsid w:val="00AD0011"/>
    <w:rsid w:val="00B252A1"/>
    <w:rsid w:val="00B5236F"/>
    <w:rsid w:val="00B60560"/>
    <w:rsid w:val="00B60777"/>
    <w:rsid w:val="00B611D1"/>
    <w:rsid w:val="00B656F6"/>
    <w:rsid w:val="00B958D1"/>
    <w:rsid w:val="00C13185"/>
    <w:rsid w:val="00C34AFE"/>
    <w:rsid w:val="00C36488"/>
    <w:rsid w:val="00C4479D"/>
    <w:rsid w:val="00C5052D"/>
    <w:rsid w:val="00C72CC2"/>
    <w:rsid w:val="00CB669A"/>
    <w:rsid w:val="00CC56C4"/>
    <w:rsid w:val="00CF0DCD"/>
    <w:rsid w:val="00D11947"/>
    <w:rsid w:val="00D165F7"/>
    <w:rsid w:val="00D654CE"/>
    <w:rsid w:val="00D732DA"/>
    <w:rsid w:val="00D81F3F"/>
    <w:rsid w:val="00D950C6"/>
    <w:rsid w:val="00DB4A1F"/>
    <w:rsid w:val="00DC24C5"/>
    <w:rsid w:val="00DC4FDD"/>
    <w:rsid w:val="00DD5020"/>
    <w:rsid w:val="00DE0A49"/>
    <w:rsid w:val="00DE0DD4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F00ECC"/>
    <w:rsid w:val="00F0195F"/>
    <w:rsid w:val="00F41827"/>
    <w:rsid w:val="00F72DF1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56E5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paragraph" w:customStyle="1" w:styleId="Default">
    <w:name w:val="Default"/>
    <w:rsid w:val="00D81F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paragraph" w:customStyle="1" w:styleId="Pa1">
    <w:name w:val="Pa1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81F3F"/>
    <w:rPr>
      <w:rFonts w:cs="Corbel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D81F3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3</cp:revision>
  <cp:lastPrinted>2022-02-14T10:52:00Z</cp:lastPrinted>
  <dcterms:created xsi:type="dcterms:W3CDTF">2022-02-14T10:19:00Z</dcterms:created>
  <dcterms:modified xsi:type="dcterms:W3CDTF">2022-02-14T11:02:00Z</dcterms:modified>
</cp:coreProperties>
</file>